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4" w:rsidRPr="00852A14" w:rsidRDefault="00852A14" w:rsidP="00852A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val="ru-RU"/>
        </w:rPr>
      </w:pPr>
      <w:r w:rsidRPr="00852A14">
        <w:rPr>
          <w:rFonts w:ascii="Arial" w:eastAsia="Times New Roman" w:hAnsi="Arial" w:cs="Arial"/>
          <w:sz w:val="20"/>
          <w:szCs w:val="20"/>
        </w:rPr>
        <w:br/>
      </w:r>
    </w:p>
    <w:p w:rsidR="00852A14" w:rsidRPr="00852A14" w:rsidRDefault="00852A14" w:rsidP="00852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</w:pPr>
      <w:r w:rsidRPr="00852A14">
        <w:rPr>
          <w:rFonts w:ascii="Arial" w:eastAsia="Times New Roman" w:hAnsi="Arial" w:cs="Arial"/>
          <w:sz w:val="20"/>
          <w:szCs w:val="20"/>
        </w:rPr>
        <w:fldChar w:fldCharType="begin"/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 </w:instrText>
      </w:r>
      <w:r w:rsidRPr="00852A14">
        <w:rPr>
          <w:rFonts w:ascii="Arial" w:eastAsia="Times New Roman" w:hAnsi="Arial" w:cs="Arial"/>
          <w:sz w:val="20"/>
          <w:szCs w:val="20"/>
        </w:rPr>
        <w:instrText>HYPERLINK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 "</w:instrText>
      </w:r>
      <w:r w:rsidRPr="00852A14">
        <w:rPr>
          <w:rFonts w:ascii="Arial" w:eastAsia="Times New Roman" w:hAnsi="Arial" w:cs="Arial"/>
          <w:sz w:val="20"/>
          <w:szCs w:val="20"/>
        </w:rPr>
        <w:instrText>https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://</w:instrText>
      </w:r>
      <w:r w:rsidRPr="00852A14">
        <w:rPr>
          <w:rFonts w:ascii="Arial" w:eastAsia="Times New Roman" w:hAnsi="Arial" w:cs="Arial"/>
          <w:sz w:val="20"/>
          <w:szCs w:val="20"/>
        </w:rPr>
        <w:instrText>docviewer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.</w:instrText>
      </w:r>
      <w:r w:rsidRPr="00852A14">
        <w:rPr>
          <w:rFonts w:ascii="Arial" w:eastAsia="Times New Roman" w:hAnsi="Arial" w:cs="Arial"/>
          <w:sz w:val="20"/>
          <w:szCs w:val="20"/>
        </w:rPr>
        <w:instrText>yandex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.</w:instrText>
      </w:r>
      <w:r w:rsidRPr="00852A14">
        <w:rPr>
          <w:rFonts w:ascii="Arial" w:eastAsia="Times New Roman" w:hAnsi="Arial" w:cs="Arial"/>
          <w:sz w:val="20"/>
          <w:szCs w:val="20"/>
        </w:rPr>
        <w:instrText>ru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/?</w:instrText>
      </w:r>
      <w:r w:rsidRPr="00852A14">
        <w:rPr>
          <w:rFonts w:ascii="Arial" w:eastAsia="Times New Roman" w:hAnsi="Arial" w:cs="Arial"/>
          <w:sz w:val="20"/>
          <w:szCs w:val="20"/>
        </w:rPr>
        <w:instrText>url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=</w:instrText>
      </w:r>
      <w:r w:rsidRPr="00852A14">
        <w:rPr>
          <w:rFonts w:ascii="Arial" w:eastAsia="Times New Roman" w:hAnsi="Arial" w:cs="Arial"/>
          <w:sz w:val="20"/>
          <w:szCs w:val="20"/>
        </w:rPr>
        <w:instrText>ya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-</w:instrText>
      </w:r>
      <w:r w:rsidRPr="00852A14">
        <w:rPr>
          <w:rFonts w:ascii="Arial" w:eastAsia="Times New Roman" w:hAnsi="Arial" w:cs="Arial"/>
          <w:sz w:val="20"/>
          <w:szCs w:val="20"/>
        </w:rPr>
        <w:instrText>mail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%3</w:instrText>
      </w:r>
      <w:r w:rsidRPr="00852A14">
        <w:rPr>
          <w:rFonts w:ascii="Arial" w:eastAsia="Times New Roman" w:hAnsi="Arial" w:cs="Arial"/>
          <w:sz w:val="20"/>
          <w:szCs w:val="20"/>
        </w:rPr>
        <w:instrText>A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%2</w:instrText>
      </w:r>
      <w:r w:rsidRPr="00852A14">
        <w:rPr>
          <w:rFonts w:ascii="Arial" w:eastAsia="Times New Roman" w:hAnsi="Arial" w:cs="Arial"/>
          <w:sz w:val="20"/>
          <w:szCs w:val="20"/>
        </w:rPr>
        <w:instrText>F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%2</w:instrText>
      </w:r>
      <w:r w:rsidRPr="00852A14">
        <w:rPr>
          <w:rFonts w:ascii="Arial" w:eastAsia="Times New Roman" w:hAnsi="Arial" w:cs="Arial"/>
          <w:sz w:val="20"/>
          <w:szCs w:val="20"/>
        </w:rPr>
        <w:instrText>F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178173660257854058%2</w:instrText>
      </w:r>
      <w:r w:rsidRPr="00852A14">
        <w:rPr>
          <w:rFonts w:ascii="Arial" w:eastAsia="Times New Roman" w:hAnsi="Arial" w:cs="Arial"/>
          <w:sz w:val="20"/>
          <w:szCs w:val="20"/>
        </w:rPr>
        <w:instrText>F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1.2&amp;</w:instrText>
      </w:r>
      <w:r w:rsidRPr="00852A14">
        <w:rPr>
          <w:rFonts w:ascii="Arial" w:eastAsia="Times New Roman" w:hAnsi="Arial" w:cs="Arial"/>
          <w:sz w:val="20"/>
          <w:szCs w:val="20"/>
        </w:rPr>
        <w:instrText>name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=%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A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4%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AB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4%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8%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6%82%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4%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AB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-%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5%</w:instrText>
      </w:r>
      <w:r w:rsidRPr="00852A14">
        <w:rPr>
          <w:rFonts w:ascii="Arial" w:eastAsia="Times New Roman" w:hAnsi="Arial" w:cs="Arial"/>
          <w:sz w:val="20"/>
          <w:szCs w:val="20"/>
        </w:rPr>
        <w:instrText>B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1%</w:instrText>
      </w:r>
      <w:r w:rsidRPr="00852A14">
        <w:rPr>
          <w:rFonts w:ascii="Arial" w:eastAsia="Times New Roman" w:hAnsi="Arial" w:cs="Arial"/>
          <w:sz w:val="20"/>
          <w:szCs w:val="20"/>
        </w:rPr>
        <w:instrText>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6%87.</w:instrText>
      </w:r>
      <w:r w:rsidRPr="00852A14">
        <w:rPr>
          <w:rFonts w:ascii="Arial" w:eastAsia="Times New Roman" w:hAnsi="Arial" w:cs="Arial"/>
          <w:sz w:val="20"/>
          <w:szCs w:val="20"/>
        </w:rPr>
        <w:instrText>docx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&amp;</w:instrText>
      </w:r>
      <w:r w:rsidRPr="00852A14">
        <w:rPr>
          <w:rFonts w:ascii="Arial" w:eastAsia="Times New Roman" w:hAnsi="Arial" w:cs="Arial"/>
          <w:sz w:val="20"/>
          <w:szCs w:val="20"/>
        </w:rPr>
        <w:instrText>uid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>=1130000040926364" \</w:instrText>
      </w:r>
      <w:r w:rsidRPr="00852A14">
        <w:rPr>
          <w:rFonts w:ascii="Arial" w:eastAsia="Times New Roman" w:hAnsi="Arial" w:cs="Arial"/>
          <w:sz w:val="20"/>
          <w:szCs w:val="20"/>
        </w:rPr>
        <w:instrText>t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 "_</w:instrText>
      </w:r>
      <w:r w:rsidRPr="00852A14">
        <w:rPr>
          <w:rFonts w:ascii="Arial" w:eastAsia="Times New Roman" w:hAnsi="Arial" w:cs="Arial"/>
          <w:sz w:val="20"/>
          <w:szCs w:val="20"/>
        </w:rPr>
        <w:instrText>blank</w:instrText>
      </w:r>
      <w:r w:rsidRPr="00852A14">
        <w:rPr>
          <w:rFonts w:ascii="Arial" w:eastAsia="Times New Roman" w:hAnsi="Arial" w:cs="Arial"/>
          <w:sz w:val="20"/>
          <w:szCs w:val="20"/>
          <w:lang w:val="ru-RU"/>
        </w:rPr>
        <w:instrText xml:space="preserve">" </w:instrText>
      </w:r>
      <w:r w:rsidRPr="00852A14">
        <w:rPr>
          <w:rFonts w:ascii="Arial" w:eastAsia="Times New Roman" w:hAnsi="Arial" w:cs="Arial"/>
          <w:sz w:val="20"/>
          <w:szCs w:val="20"/>
        </w:rPr>
        <w:fldChar w:fldCharType="separate"/>
      </w:r>
    </w:p>
    <w:p w:rsidR="00852A14" w:rsidRPr="00852A14" w:rsidRDefault="00852A14" w:rsidP="00852A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852A14">
        <w:rPr>
          <w:rFonts w:ascii="Arial" w:eastAsia="Times New Roman" w:hAnsi="Arial" w:cs="Arial"/>
          <w:sz w:val="20"/>
          <w:szCs w:val="20"/>
        </w:rPr>
        <w:fldChar w:fldCharType="end"/>
      </w:r>
    </w:p>
    <w:p w:rsidR="00852A14" w:rsidRPr="00852A14" w:rsidRDefault="00852A14" w:rsidP="00852A1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ՀԱՅՏԱՐԱՐՈՒԹՅՈՒՆ</w:t>
      </w:r>
    </w:p>
    <w:p w:rsidR="00852A14" w:rsidRPr="00852A14" w:rsidRDefault="00852A14" w:rsidP="00852A14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Հայաստանի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Հանրապետության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hy-AM"/>
        </w:rPr>
        <w:t xml:space="preserve">առողջապահական եվ աշխատանքի տեսչական մարմնի 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ru-RU"/>
        </w:rPr>
        <w:t>(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hy-AM"/>
        </w:rPr>
        <w:t>այսուհետև՝ Տեսչական մարմին</w:t>
      </w:r>
      <w:r w:rsidRPr="00852A14">
        <w:rPr>
          <w:rFonts w:ascii="GHEA Grapalat" w:eastAsia="Times New Roman" w:hAnsi="GHEA Grapalat" w:cs="Calibri"/>
          <w:b/>
          <w:color w:val="222222"/>
          <w:sz w:val="23"/>
          <w:szCs w:val="23"/>
          <w:lang w:val="ru-RU"/>
        </w:rPr>
        <w:t>)</w:t>
      </w:r>
      <w:r>
        <w:rPr>
          <w:rFonts w:ascii="Calibri" w:eastAsia="Times New Roman" w:hAnsi="Calibri" w:cs="Calibri"/>
          <w:color w:val="222222"/>
          <w:sz w:val="23"/>
          <w:szCs w:val="23"/>
          <w:lang w:val="hy-AM"/>
        </w:rPr>
        <w:t xml:space="preserve"> 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հայտարարում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է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ընտրություն</w:t>
      </w:r>
      <w:r w:rsidR="004532DA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Տեսչական մարմնի</w:t>
      </w:r>
      <w:r w:rsidRPr="00852A14">
        <w:rPr>
          <w:rFonts w:ascii="Calibri" w:eastAsia="Times New Roman" w:hAnsi="Calibri" w:cs="Calibri"/>
          <w:b/>
          <w:bCs/>
          <w:color w:val="222222"/>
          <w:sz w:val="23"/>
          <w:szCs w:val="23"/>
        </w:rPr>
        <w:t> 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քաղաքացիական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ծառայության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ժամանակավոր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թափուր</w:t>
      </w:r>
      <w:r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="004532DA">
        <w:rPr>
          <w:rFonts w:ascii="Calibri" w:eastAsia="Times New Roman" w:hAnsi="Calibri" w:cs="Calibri"/>
          <w:color w:val="222222"/>
          <w:sz w:val="23"/>
          <w:szCs w:val="23"/>
          <w:lang w:val="ru-RU"/>
        </w:rPr>
        <w:t xml:space="preserve"> </w:t>
      </w:r>
      <w:r w:rsidR="004532DA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 xml:space="preserve">                                                     </w:t>
      </w:r>
      <w:r w:rsidR="004532DA" w:rsidRPr="004532DA">
        <w:rPr>
          <w:rFonts w:ascii="GHEA Grapalat" w:eastAsia="Times New Roman" w:hAnsi="GHEA Grapalat" w:cs="Calibri"/>
          <w:b/>
          <w:color w:val="222222"/>
          <w:sz w:val="23"/>
          <w:szCs w:val="23"/>
          <w:lang w:val="ru-RU"/>
        </w:rPr>
        <w:t>պ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աշտոնը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զբաղեցնելու</w:t>
      </w:r>
      <w:r w:rsidRPr="00852A14">
        <w:rPr>
          <w:rFonts w:ascii="Calibri" w:eastAsia="Times New Roman" w:hAnsi="Calibri" w:cs="Calibri"/>
          <w:color w:val="222222"/>
          <w:sz w:val="23"/>
          <w:szCs w:val="23"/>
        </w:rPr>
        <w:t> 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համար</w:t>
      </w:r>
    </w:p>
    <w:p w:rsidR="00852A14" w:rsidRPr="00082758" w:rsidRDefault="00852A14" w:rsidP="00852A14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</w:pP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Ռիսկի գնահատման ստուգումների պլանովորման և վերլուծությունների վարչության գլխավոր մասնագետ</w:t>
      </w:r>
      <w:r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 xml:space="preserve"> (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պաշտոնի</w:t>
      </w:r>
      <w:r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 xml:space="preserve"> 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</w:rPr>
        <w:t>ծածկագիր</w:t>
      </w:r>
      <w:r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>` 66-27</w:t>
      </w:r>
      <w:r w:rsidRPr="00082758">
        <w:rPr>
          <w:rFonts w:ascii="Cambria Math" w:eastAsia="Times New Roman" w:hAnsi="Cambria Math" w:cs="Cambria Math"/>
          <w:b/>
          <w:bCs/>
          <w:color w:val="222222"/>
          <w:sz w:val="23"/>
          <w:szCs w:val="23"/>
          <w:lang w:val="ru-RU"/>
        </w:rPr>
        <w:t>․</w:t>
      </w:r>
      <w:r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>4-</w:t>
      </w:r>
      <w:r w:rsidRPr="00852A14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Մ2-3</w:t>
      </w:r>
      <w:r w:rsidRPr="0008275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  <w:t>)</w:t>
      </w:r>
    </w:p>
    <w:p w:rsidR="00852A14" w:rsidRPr="00082758" w:rsidRDefault="006B0497" w:rsidP="004532DA">
      <w:pPr>
        <w:pStyle w:val="ListParagraph"/>
        <w:shd w:val="clear" w:color="auto" w:fill="FFFFFF"/>
        <w:spacing w:after="0" w:line="390" w:lineRule="atLeast"/>
        <w:ind w:left="1035"/>
        <w:jc w:val="both"/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ru-RU"/>
        </w:rPr>
      </w:pPr>
      <w:r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</w:t>
      </w:r>
    </w:p>
    <w:p w:rsidR="004532DA" w:rsidRPr="004532DA" w:rsidRDefault="004532DA" w:rsidP="004532DA">
      <w:pPr>
        <w:pStyle w:val="BodyTextIndent"/>
        <w:numPr>
          <w:ilvl w:val="0"/>
          <w:numId w:val="3"/>
        </w:numPr>
        <w:spacing w:after="0" w:line="240" w:lineRule="auto"/>
        <w:ind w:left="142" w:firstLine="938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տվյալների բազայի ստեղծման, պարբերաբար թարմացման աշխատանքներ, ըստ տնտեսական գործունեության տեսակների դասակարգիչների և ռիսկայնությունը որոշող չափանիշների՝  սահմանելով, բացահայտելով և վերլուծելով Տեսչական մարմնի վերահսկողության ենթակա բնագավառների ռիսկերը,</w:t>
      </w:r>
    </w:p>
    <w:p w:rsidR="004532DA" w:rsidRPr="004532DA" w:rsidRDefault="004532DA" w:rsidP="004532DA">
      <w:pPr>
        <w:pStyle w:val="ListParagraph"/>
        <w:numPr>
          <w:ilvl w:val="0"/>
          <w:numId w:val="3"/>
        </w:numPr>
        <w:spacing w:after="0" w:line="240" w:lineRule="auto"/>
        <w:ind w:left="284" w:firstLine="632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խախտումների պարբերականության, խախտումների վերացմանն ուղղված գործողությունների վերաբերյալ տվյալների բազայի ձևավորման և պարբերաբար թարմացման աշխատանքներ, ըստ տնտեսական գործունեության տեսակների դասակարգիչների,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284" w:firstLine="796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վերահսկման Ոլորտում գործող բոլոր տնտեսավարող սուբյեկտների ռիսկայնության դասակարգման աշխատանքներ ըստ տնտեսավարող սուբյեկտների, ինչպես նաև հսկողական գործառույթների նպատակադրում դեպի առավել ռիսկային ոլորտներ և վերահսկման ենթակա տնտեսավարող սուբյեկտներ,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284" w:firstLine="654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վերահսկվող տնտեսավարող սուբյեկտներում ռիսկի գնահատման և արդյունքների վերլուծության աշխատանքներ,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284" w:firstLine="796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կառուցվածքային ստորաբաժանումներից տնտեսավարող սուբյեկտներում կատարված ստուգումների և ուսումնասիրությունների արդյունքների հավաքագրում և դրա հիման վրա սահմանված մեթոդաբանությամբ ռիսկերի հետագա գնահատման աշխատանքներ,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284" w:firstLine="49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կառուցվածքային ստորաբաժանումների և շահագրգիռ պետական կառույցների միջև Տեսչական մարմնի կողմից իրականացվող պետական վերահսկողության արդյունքների հիման վրա ռիսկի կառավարման և դրանց վերաբերյալ տեղեկատվության փոխանակման աշխատանքներ,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426" w:firstLine="49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կողմից վերահսկվող տնտեսավարող սուբյեկտների տվյալների, ինչպես նաև Ոլորտի վիճակագրական տեղեկատվական բազաների ստեղծման և վարման աշխատանքներ,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426" w:firstLine="654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վերահսկման ոլորտում գործող բոլոր տնտեսավարող սուբյեկտների դասակարգումը ըստ ռիսկայնության և վերջինիս հիման վրա ստուգումների տարեկան ծրագրի կազմման աշխատանքներ,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567" w:firstLine="513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իրականացնում է ստուգումների կազմակերպման, ստուգումների (այդ թվում Ռիսկի վրա հիմնված) հաշվառման հետ կապված համապատասխան ձևաթղթերի հանձնարարագրերի, հրամանների, ակտերի, որոշումների, կարգադրագրերի և այլ համապատասխան փաստաթղթերի կազմման, ստուգման արդյունքների հաշվառման աշխատանքներ,</w:t>
      </w:r>
    </w:p>
    <w:p w:rsidR="004532DA" w:rsidRPr="004532DA" w:rsidRDefault="004532DA" w:rsidP="004532DA">
      <w:pPr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կանոնադրական գործառույթների իրականացման արդյունքների վերաբերյալ, վիճակագրական տվյալների հավաքագրման, ամփոփման, պահպանման և դրանց հիման վրա Ոլորտի վիճակագրության վարման հետ կապված աշխատանքներ, անհրաժեշտության դեպքում սահմանված ժամկետում և կարգով հաշվարկ-հաշվետվությունների, ինչպես նաև օրենքով սահմանված այլ տեղեկատվություններ պարունակող ձևերի ներկայացման աշխատանքներ համապատասխան պետական մարմիններին և Տեսչական մարմնի ղեկավարին,</w:t>
      </w:r>
    </w:p>
    <w:p w:rsidR="004532DA" w:rsidRPr="00BB4374" w:rsidRDefault="004532DA" w:rsidP="004532DA">
      <w:pPr>
        <w:numPr>
          <w:ilvl w:val="0"/>
          <w:numId w:val="2"/>
        </w:numPr>
        <w:spacing w:after="0" w:line="240" w:lineRule="auto"/>
        <w:ind w:left="567" w:firstLine="513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4532DA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կազմում է մեթոդական պարզաբանումներ և ուղեցույցներ, ներկայացնում է Հայաստանի Հանրապետության առողջապահության բնագավառի օրենսդրության կատարելագործմանն ուղղված առաջարկներ։</w:t>
      </w:r>
    </w:p>
    <w:p w:rsidR="00BB4374" w:rsidRDefault="00BB4374" w:rsidP="00BB4374">
      <w:pPr>
        <w:spacing w:after="0" w:line="240" w:lineRule="auto"/>
        <w:ind w:left="108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:rsidR="004532DA" w:rsidRDefault="004532DA" w:rsidP="004532DA">
      <w:pPr>
        <w:spacing w:after="0" w:line="240" w:lineRule="auto"/>
        <w:ind w:left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BB4374" w:rsidRPr="00BB4374" w:rsidRDefault="00BB4374" w:rsidP="004532DA">
      <w:pPr>
        <w:spacing w:after="0" w:line="240" w:lineRule="auto"/>
        <w:ind w:left="720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852A14" w:rsidRPr="00852A14" w:rsidRDefault="00852A14" w:rsidP="004532DA">
      <w:pPr>
        <w:pStyle w:val="BodyTextIndent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f-ZA"/>
        </w:rPr>
      </w:pP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Նշված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ժամանակավոր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թափուր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պաշտոնը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զբաղեցնելու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համար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պահանջվում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 xml:space="preserve"> </w:t>
      </w:r>
      <w:r w:rsidRPr="00BB4374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է</w:t>
      </w:r>
      <w:r w:rsidRPr="00852A14">
        <w:rPr>
          <w:rFonts w:ascii="GHEA Grapalat" w:eastAsia="Times New Roman" w:hAnsi="GHEA Grapalat" w:cs="Times New Roman"/>
          <w:color w:val="222222"/>
          <w:sz w:val="23"/>
          <w:szCs w:val="23"/>
          <w:lang w:val="af-ZA"/>
        </w:rPr>
        <w:t>`</w:t>
      </w:r>
    </w:p>
    <w:p w:rsidR="00082758" w:rsidRDefault="00852A14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852A14">
        <w:rPr>
          <w:rFonts w:ascii="Symbol" w:eastAsia="Times New Roman" w:hAnsi="Symbol" w:cs="Times New Roman"/>
          <w:color w:val="222222"/>
          <w:sz w:val="20"/>
          <w:szCs w:val="20"/>
        </w:rPr>
        <w:t></w:t>
      </w:r>
      <w:r w:rsidRPr="00852A14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</w:t>
      </w:r>
      <w:r w:rsidR="00082758" w:rsidRPr="0008275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="00082758" w:rsidRPr="0008275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="00082758" w:rsidRPr="0008275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 w:rsidR="00082758" w:rsidRPr="0008275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="00082758" w:rsidRPr="0008275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աստիճանը</w:t>
      </w:r>
    </w:p>
    <w:p w:rsidR="00BB4374" w:rsidRDefault="00BB4374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21"/>
        <w:gridCol w:w="2983"/>
        <w:gridCol w:w="2409"/>
        <w:gridCol w:w="4147"/>
      </w:tblGrid>
      <w:tr w:rsidR="00BB4374" w:rsidRPr="00F1775F" w:rsidTr="002207E9">
        <w:tc>
          <w:tcPr>
            <w:tcW w:w="521" w:type="dxa"/>
          </w:tcPr>
          <w:p w:rsidR="00BB4374" w:rsidRPr="00BB4374" w:rsidRDefault="00BB4374" w:rsidP="00BB4374">
            <w:pPr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74" w:rsidRPr="00082758" w:rsidRDefault="00BB4374" w:rsidP="00BB4374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74" w:rsidRPr="00082758" w:rsidRDefault="00BB4374" w:rsidP="00BB4374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Սոցիալական գիտություններ, լրագրություն և տեղեկատվական գիտություններ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74" w:rsidRPr="00082758" w:rsidRDefault="00BB4374" w:rsidP="00BB4374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Սոցիալական գիտություններ, լրագրություն և տեղեկատվական գիտություններ</w:t>
            </w:r>
          </w:p>
        </w:tc>
      </w:tr>
      <w:tr w:rsidR="002207E9" w:rsidTr="002207E9">
        <w:tc>
          <w:tcPr>
            <w:tcW w:w="521" w:type="dxa"/>
          </w:tcPr>
          <w:p w:rsidR="002207E9" w:rsidRP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Սոցիալական և վարքաբանական գիտություններ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Սոցիալական և վարքաբանական գիտություններ</w:t>
            </w:r>
          </w:p>
        </w:tc>
      </w:tr>
      <w:tr w:rsidR="002207E9" w:rsidTr="002207E9">
        <w:tc>
          <w:tcPr>
            <w:tcW w:w="521" w:type="dxa"/>
          </w:tcPr>
          <w:p w:rsidR="002207E9" w:rsidRP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Ենթաոլորտ</w:t>
            </w:r>
          </w:p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Տնտեսագիտություն 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Միջոլորտային մասնագիտություններ</w:t>
            </w:r>
          </w:p>
        </w:tc>
      </w:tr>
      <w:tr w:rsidR="002207E9" w:rsidTr="002207E9">
        <w:tc>
          <w:tcPr>
            <w:tcW w:w="521" w:type="dxa"/>
          </w:tcPr>
          <w:p w:rsidR="002207E9" w:rsidRP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Ագրոէկոնոմիկա</w:t>
            </w:r>
          </w:p>
        </w:tc>
      </w:tr>
    </w:tbl>
    <w:p w:rsidR="00BB4374" w:rsidRDefault="00BB4374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2207E9" w:rsidRDefault="002207E9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>
        <w:rPr>
          <w:rFonts w:ascii="GHEA Grapalat" w:eastAsia="Sylfaen" w:hAnsi="GHEA Grapalat" w:cs="Sylfaen"/>
          <w:b/>
          <w:sz w:val="24"/>
          <w:szCs w:val="24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2251"/>
        <w:gridCol w:w="2252"/>
        <w:gridCol w:w="2229"/>
        <w:gridCol w:w="2587"/>
      </w:tblGrid>
      <w:tr w:rsidR="002207E9" w:rsidTr="002207E9">
        <w:tc>
          <w:tcPr>
            <w:tcW w:w="419" w:type="dxa"/>
          </w:tcPr>
          <w:p w:rsid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lastRenderedPageBreak/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Գործարարություն, վարչարարություն և իրավունք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Գործարարություն, վարչարարություն և իրավունք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Գործարարություն, վարչարարություն և իրավունք</w:t>
            </w:r>
          </w:p>
        </w:tc>
      </w:tr>
      <w:tr w:rsidR="002207E9" w:rsidTr="002207E9">
        <w:tc>
          <w:tcPr>
            <w:tcW w:w="419" w:type="dxa"/>
          </w:tcPr>
          <w:p w:rsid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Գործարարություն և վարչարարություն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Գործարարություն և վարչարարություն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Գործարարություն և վարչարարություն</w:t>
            </w:r>
          </w:p>
        </w:tc>
      </w:tr>
      <w:tr w:rsidR="002207E9" w:rsidTr="002207E9">
        <w:tc>
          <w:tcPr>
            <w:tcW w:w="419" w:type="dxa"/>
          </w:tcPr>
          <w:p w:rsid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Ենթաոլորտ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</w:t>
            </w: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աշվապահություն և հարկային գործ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Ֆինանսներ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Միջոլորտային մասնագիտություններ</w:t>
            </w:r>
          </w:p>
        </w:tc>
      </w:tr>
      <w:tr w:rsidR="002207E9" w:rsidTr="002207E9">
        <w:tc>
          <w:tcPr>
            <w:tcW w:w="419" w:type="dxa"/>
          </w:tcPr>
          <w:p w:rsid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082758" w:rsidRDefault="002207E9" w:rsidP="002207E9">
            <w:pPr>
              <w:spacing w:after="200" w:line="276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08275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Ագրոբիզնես</w:t>
            </w:r>
          </w:p>
        </w:tc>
      </w:tr>
    </w:tbl>
    <w:p w:rsidR="002207E9" w:rsidRDefault="002207E9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2207E9" w:rsidRDefault="002207E9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>
        <w:rPr>
          <w:rFonts w:ascii="GHEA Grapalat" w:eastAsia="Sylfaen" w:hAnsi="GHEA Grapalat" w:cs="Sylfaen"/>
          <w:b/>
          <w:sz w:val="24"/>
          <w:szCs w:val="24"/>
          <w:lang w:val="hy-AM"/>
        </w:rPr>
        <w:t>կամ</w:t>
      </w:r>
    </w:p>
    <w:p w:rsidR="002207E9" w:rsidRDefault="002207E9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2207E9" w:rsidRPr="00F1775F" w:rsidTr="005E03FA">
        <w:tc>
          <w:tcPr>
            <w:tcW w:w="562" w:type="dxa"/>
          </w:tcPr>
          <w:p w:rsid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283D95" w:rsidRDefault="002207E9" w:rsidP="002207E9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214678" w:rsidRDefault="002207E9" w:rsidP="002207E9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Բ</w:t>
            </w:r>
            <w:r w:rsidRPr="0021467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նական գիտություններ, մաթեմատիկա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և</w:t>
            </w:r>
            <w:r w:rsidRPr="0021467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վիճակագրություն</w:t>
            </w:r>
          </w:p>
        </w:tc>
      </w:tr>
      <w:tr w:rsidR="002207E9" w:rsidTr="005E03FA">
        <w:tc>
          <w:tcPr>
            <w:tcW w:w="562" w:type="dxa"/>
          </w:tcPr>
          <w:p w:rsidR="002207E9" w:rsidRDefault="002207E9" w:rsidP="002207E9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283D95" w:rsidRDefault="002207E9" w:rsidP="002207E9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E9" w:rsidRPr="00283D95" w:rsidRDefault="002207E9" w:rsidP="002207E9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</w:t>
            </w:r>
            <w:r w:rsidRPr="00E9012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աթեմատիկա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և</w:t>
            </w:r>
            <w:r w:rsidRPr="00E9012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վիճակագրություն</w:t>
            </w:r>
          </w:p>
        </w:tc>
      </w:tr>
    </w:tbl>
    <w:p w:rsidR="002207E9" w:rsidRDefault="002207E9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2207E9" w:rsidRDefault="002207E9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>
        <w:rPr>
          <w:rFonts w:ascii="GHEA Grapalat" w:eastAsia="Sylfaen" w:hAnsi="GHEA Grapalat" w:cs="Sylfaen"/>
          <w:b/>
          <w:sz w:val="24"/>
          <w:szCs w:val="24"/>
          <w:lang w:val="hy-AM"/>
        </w:rPr>
        <w:t>կամ</w:t>
      </w:r>
    </w:p>
    <w:p w:rsidR="005E03FA" w:rsidRDefault="005E03FA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721"/>
      </w:tblGrid>
      <w:tr w:rsidR="005E03FA" w:rsidRPr="00F1775F" w:rsidTr="005E03FA">
        <w:tc>
          <w:tcPr>
            <w:tcW w:w="562" w:type="dxa"/>
          </w:tcPr>
          <w:p w:rsidR="005E03FA" w:rsidRDefault="005E03FA" w:rsidP="005E03FA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A" w:rsidRPr="00283D95" w:rsidRDefault="005E03FA" w:rsidP="005E03FA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A" w:rsidRPr="000E0739" w:rsidRDefault="005E03FA" w:rsidP="005E03FA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</w:t>
            </w:r>
            <w:r w:rsidRPr="000E073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եղեկատվական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և</w:t>
            </w:r>
            <w:r w:rsidRPr="000E073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հաղորդակցական տեխնոլոգիաներ (ՏՀՏ)</w:t>
            </w:r>
          </w:p>
        </w:tc>
      </w:tr>
      <w:tr w:rsidR="005E03FA" w:rsidRPr="00F1775F" w:rsidTr="005E03FA">
        <w:tc>
          <w:tcPr>
            <w:tcW w:w="562" w:type="dxa"/>
          </w:tcPr>
          <w:p w:rsidR="005E03FA" w:rsidRDefault="005E03FA" w:rsidP="005E03FA">
            <w:pP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A" w:rsidRPr="00283D95" w:rsidRDefault="005E03FA" w:rsidP="005E03FA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FA" w:rsidRPr="000E0739" w:rsidRDefault="005E03FA" w:rsidP="005E03FA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</w:t>
            </w:r>
            <w:r w:rsidRPr="000E073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եղեկատվական </w:t>
            </w: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և</w:t>
            </w:r>
            <w:r w:rsidRPr="000E0739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հաղորդակցական տեխնոլոգիաներ (ՏՀՏ)</w:t>
            </w:r>
          </w:p>
        </w:tc>
      </w:tr>
    </w:tbl>
    <w:p w:rsidR="005E03FA" w:rsidRDefault="005E03FA" w:rsidP="00082758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5E03FA" w:rsidRPr="005E03FA" w:rsidRDefault="005E03FA" w:rsidP="005E03FA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Մասնագիտական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գիտելիքները</w:t>
      </w:r>
    </w:p>
    <w:p w:rsidR="005E03FA" w:rsidRPr="005E03FA" w:rsidRDefault="005E03FA" w:rsidP="005E03FA">
      <w:pPr>
        <w:spacing w:line="256" w:lineRule="auto"/>
        <w:ind w:right="11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5E03FA">
        <w:rPr>
          <w:rFonts w:ascii="GHEA Grapalat" w:eastAsia="Sylfaen" w:hAnsi="GHEA Grapalat" w:cs="Sylfaen"/>
          <w:sz w:val="24"/>
          <w:szCs w:val="24"/>
          <w:lang w:val="hy-AM"/>
        </w:rPr>
        <w:t>Ունի</w:t>
      </w:r>
      <w:r w:rsidRPr="005E0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գործառույթների</w:t>
      </w:r>
      <w:r w:rsidRPr="005E03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իրականացման</w:t>
      </w:r>
      <w:r w:rsidRPr="005E03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համար</w:t>
      </w:r>
      <w:r w:rsidRPr="005E03FA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sz w:val="24"/>
          <w:szCs w:val="24"/>
          <w:lang w:val="hy-AM"/>
        </w:rPr>
        <w:t>անհրաժեշտ</w:t>
      </w:r>
      <w:r w:rsidRPr="005E03F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color w:val="000000"/>
          <w:sz w:val="24"/>
          <w:szCs w:val="24"/>
          <w:lang w:val="hy-AM"/>
        </w:rPr>
        <w:t>գիտելիքներ:</w:t>
      </w:r>
    </w:p>
    <w:p w:rsidR="005E03FA" w:rsidRPr="005E03FA" w:rsidRDefault="005E03FA" w:rsidP="005E03FA">
      <w:pPr>
        <w:spacing w:after="0" w:line="256" w:lineRule="auto"/>
        <w:ind w:right="11"/>
        <w:jc w:val="both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Աշխատանքային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ստաժը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աշխատանքի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բնագավառում</w:t>
      </w:r>
      <w:r w:rsidRPr="005E03FA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E03FA">
        <w:rPr>
          <w:rFonts w:ascii="GHEA Grapalat" w:eastAsia="Sylfaen" w:hAnsi="GHEA Grapalat" w:cs="Sylfaen"/>
          <w:b/>
          <w:sz w:val="24"/>
          <w:szCs w:val="24"/>
          <w:lang w:val="hy-AM"/>
        </w:rPr>
        <w:t>փորձը</w:t>
      </w:r>
    </w:p>
    <w:p w:rsidR="004532DA" w:rsidRPr="00C90B77" w:rsidRDefault="00852A14" w:rsidP="00082758">
      <w:pPr>
        <w:shd w:val="clear" w:color="auto" w:fill="FFFFFF"/>
        <w:spacing w:after="0" w:line="390" w:lineRule="atLeast"/>
        <w:ind w:firstLine="675"/>
        <w:rPr>
          <w:rFonts w:ascii="Symbol" w:eastAsia="Times New Roman" w:hAnsi="Symbol" w:cs="Times New Roman"/>
          <w:color w:val="222222"/>
          <w:sz w:val="20"/>
          <w:szCs w:val="20"/>
          <w:lang w:val="hy-AM"/>
        </w:rPr>
      </w:pPr>
      <w:r w:rsidRPr="0008275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08275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="00E05B5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453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անրային ծառայության առնվազն երկու տարվա ստաժ կամ երեք տարվա մասնագիտական աշխատանքային ստաժ կամ </w:t>
      </w:r>
      <w:r w:rsidR="004532DA">
        <w:rPr>
          <w:rFonts w:ascii="GHEA Grapalat" w:hAnsi="GHEA Grapalat" w:cs="Sylfaen"/>
          <w:color w:val="000000"/>
          <w:sz w:val="24"/>
          <w:szCs w:val="24"/>
          <w:lang w:val="hy-AM"/>
        </w:rPr>
        <w:t>տնտեսագիտության</w:t>
      </w:r>
      <w:r w:rsidR="004532D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բնագավառում</w:t>
      </w:r>
      <w:r w:rsidR="004532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 երեք տարվա աշխատանքային ստաժ։</w:t>
      </w:r>
      <w:r w:rsidR="004532DA" w:rsidRPr="00C90B77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</w:p>
    <w:p w:rsidR="005E03FA" w:rsidRDefault="005E03FA" w:rsidP="005E03FA">
      <w:pPr>
        <w:spacing w:after="0" w:line="240" w:lineRule="auto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2E4AE8" w:rsidRPr="008618B2" w:rsidRDefault="00E05B5A" w:rsidP="002E4AE8">
      <w:pPr>
        <w:spacing w:after="0" w:line="276" w:lineRule="auto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Pr="008618B2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</w:t>
      </w:r>
      <w:r w:rsidR="002E4AE8" w:rsidRPr="008618B2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Իրավական</w:t>
      </w:r>
      <w:r w:rsidR="002E4AE8" w:rsidRPr="008618B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2E4AE8" w:rsidRPr="008618B2">
        <w:rPr>
          <w:rFonts w:ascii="GHEA Grapalat" w:hAnsi="GHEA Grapalat" w:cs="Sylfaen"/>
          <w:b/>
          <w:i/>
          <w:sz w:val="24"/>
          <w:szCs w:val="24"/>
          <w:lang w:val="hy-AM"/>
        </w:rPr>
        <w:t>գիտելիքներ</w:t>
      </w:r>
    </w:p>
    <w:p w:rsidR="002E4AE8" w:rsidRPr="008618B2" w:rsidRDefault="002E4AE8" w:rsidP="002E4AE8">
      <w:pPr>
        <w:spacing w:line="240" w:lineRule="auto"/>
        <w:jc w:val="both"/>
        <w:rPr>
          <w:rFonts w:ascii="GHEA Grapalat" w:hAnsi="GHEA Grapalat"/>
          <w:i/>
          <w:lang w:val="hy-AM"/>
        </w:rPr>
      </w:pPr>
    </w:p>
    <w:p w:rsidR="002E4AE8" w:rsidRPr="008618B2" w:rsidRDefault="002E4AE8" w:rsidP="002E4AE8">
      <w:pPr>
        <w:spacing w:line="360" w:lineRule="auto"/>
        <w:ind w:firstLine="360"/>
        <w:jc w:val="both"/>
        <w:rPr>
          <w:rFonts w:ascii="GHEA Grapalat" w:hAnsi="GHEA Grapalat"/>
          <w:lang w:val="hy-AM"/>
        </w:rPr>
      </w:pPr>
      <w:r w:rsidRPr="008618B2">
        <w:rPr>
          <w:rFonts w:ascii="GHEA Grapalat" w:hAnsi="GHEA Grapalat" w:cs="GHEA Grapalat"/>
          <w:bCs/>
          <w:lang w:val="hy-AM"/>
        </w:rPr>
        <w:t xml:space="preserve">Ռիսկի գնահատնման, </w:t>
      </w:r>
      <w:r w:rsidRPr="008618B2">
        <w:rPr>
          <w:rFonts w:ascii="GHEA Grapalat" w:hAnsi="GHEA Grapalat"/>
          <w:lang w:val="hy-AM"/>
        </w:rPr>
        <w:t>ստուգումների պլանավորման և վերլուծությունների</w:t>
      </w:r>
      <w:r w:rsidRPr="008618B2">
        <w:rPr>
          <w:rFonts w:ascii="GHEA Grapalat" w:hAnsi="GHEA Grapalat" w:cs="Sylfaen"/>
          <w:lang w:val="hy-AM"/>
        </w:rPr>
        <w:t xml:space="preserve"> վարչության գործունեության</w:t>
      </w:r>
      <w:r w:rsidRPr="008618B2">
        <w:rPr>
          <w:rFonts w:ascii="GHEA Grapalat" w:hAnsi="GHEA Grapalat"/>
          <w:lang w:val="hy-AM"/>
        </w:rPr>
        <w:t xml:space="preserve"> ոլորտը կարգավորող և տվյալ պաշտոնի  առանձնահատկություններից բխող օրենսդրական ակտերի իմացություն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Times Armenian"/>
          <w:lang w:val="ru-RU"/>
        </w:rPr>
        <w:t>ՀՀ Սահմանադրություն.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/>
          <w:lang w:val="hy-AM"/>
        </w:rPr>
        <w:t>«</w:t>
      </w:r>
      <w:r w:rsidRPr="008618B2">
        <w:rPr>
          <w:rFonts w:ascii="GHEA Grapalat" w:hAnsi="GHEA Grapalat" w:cs="Sylfaen"/>
          <w:lang w:val="hy-AM"/>
        </w:rPr>
        <w:t>Վարչական իրավախախտումների վերաբերյալ» ՀՀ օրենսգիրք.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Sylfaen"/>
          <w:lang w:val="af-ZA"/>
        </w:rPr>
        <w:t>ՀՀ աշխատանքային օրենսգ</w:t>
      </w:r>
      <w:r w:rsidRPr="008618B2">
        <w:rPr>
          <w:rFonts w:ascii="GHEA Grapalat" w:hAnsi="GHEA Grapalat" w:cs="Sylfaen"/>
          <w:lang w:val="hy-AM"/>
        </w:rPr>
        <w:t>ի</w:t>
      </w:r>
      <w:r w:rsidRPr="008618B2">
        <w:rPr>
          <w:rFonts w:ascii="GHEA Grapalat" w:hAnsi="GHEA Grapalat" w:cs="Sylfaen"/>
          <w:lang w:val="af-ZA"/>
        </w:rPr>
        <w:t>րք</w:t>
      </w:r>
      <w:r w:rsidRPr="008618B2">
        <w:rPr>
          <w:rFonts w:ascii="GHEA Grapalat" w:hAnsi="GHEA Grapalat" w:cs="Sylfaen"/>
          <w:lang w:val="hy-AM"/>
        </w:rPr>
        <w:t>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jc w:val="both"/>
        <w:rPr>
          <w:rFonts w:ascii="GHEA Grapalat" w:hAnsi="GHEA Grapalat"/>
          <w:iCs/>
          <w:lang w:val="hy-AM"/>
        </w:rPr>
      </w:pPr>
      <w:r w:rsidRPr="008618B2">
        <w:rPr>
          <w:rFonts w:ascii="GHEA Grapalat" w:hAnsi="GHEA Grapalat"/>
          <w:iCs/>
          <w:lang w:val="hy-AM"/>
        </w:rPr>
        <w:t>«Քաղաքացիական ծառայության մասին»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tabs>
          <w:tab w:val="left" w:pos="1080"/>
        </w:tabs>
        <w:spacing w:after="0" w:line="360" w:lineRule="auto"/>
        <w:jc w:val="both"/>
        <w:rPr>
          <w:rFonts w:ascii="GHEA Grapalat" w:hAnsi="GHEA Grapalat" w:cs="Sylfaen"/>
          <w:iCs/>
          <w:lang w:val="hy-AM"/>
        </w:rPr>
      </w:pPr>
      <w:r w:rsidRPr="008618B2">
        <w:rPr>
          <w:rFonts w:ascii="GHEA Grapalat" w:hAnsi="GHEA Grapalat" w:cs="Sylfaen"/>
          <w:iCs/>
          <w:lang w:val="hy-AM"/>
        </w:rPr>
        <w:t>«Նորմատիվ իրավական ակտերի մասին»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/>
          <w:lang w:val="hy-AM"/>
        </w:rPr>
        <w:t xml:space="preserve"> «</w:t>
      </w:r>
      <w:r w:rsidRPr="008618B2">
        <w:rPr>
          <w:rFonts w:ascii="GHEA Grapalat" w:hAnsi="GHEA Grapalat" w:cs="Sylfaen"/>
          <w:lang w:val="hy-AM"/>
        </w:rPr>
        <w:t>Հայաստանի Հանրապետությունում ստուգումների կազմակերպման և անցկացման մասին»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Sylfaen"/>
          <w:lang w:val="hy-AM"/>
        </w:rPr>
        <w:t>«Վարչարարության հիմունքների և վարչական վարույթի մասին»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Sylfaen"/>
          <w:lang w:val="hy-AM"/>
        </w:rPr>
        <w:t>«Պաշտոնական վիճակագրության մասին»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/>
          <w:lang w:val="hy-AM"/>
        </w:rPr>
        <w:t>«</w:t>
      </w:r>
      <w:r w:rsidRPr="008618B2">
        <w:rPr>
          <w:rFonts w:ascii="GHEA Grapalat" w:hAnsi="GHEA Grapalat" w:cs="Sylfaen"/>
          <w:lang w:val="hy-AM"/>
        </w:rPr>
        <w:t>Լիցենզավորման մասին»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/>
          <w:lang w:val="hy-AM"/>
        </w:rPr>
        <w:t>«</w:t>
      </w:r>
      <w:r w:rsidRPr="008618B2">
        <w:rPr>
          <w:rFonts w:ascii="GHEA Grapalat" w:hAnsi="GHEA Grapalat" w:cs="Times Armenian"/>
          <w:lang w:val="hy-AM"/>
        </w:rPr>
        <w:t>Տեսչական մարմինների մասին</w:t>
      </w:r>
      <w:r w:rsidRPr="008618B2">
        <w:rPr>
          <w:rFonts w:ascii="GHEA Grapalat" w:hAnsi="GHEA Grapalat" w:cs="Sylfaen"/>
          <w:lang w:val="hy-AM"/>
        </w:rPr>
        <w:t>»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Sylfaen"/>
          <w:lang w:val="af-ZA"/>
        </w:rPr>
        <w:t>«Բնակչության սանիտարահամաճարակային անվտանգության ապահովման մասին»</w:t>
      </w:r>
      <w:r w:rsidRPr="008618B2">
        <w:rPr>
          <w:rFonts w:ascii="GHEA Grapalat" w:hAnsi="GHEA Grapalat" w:cs="Sylfaen"/>
          <w:lang w:val="hy-AM"/>
        </w:rPr>
        <w:t xml:space="preserve">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Sylfaen"/>
          <w:lang w:val="af-ZA"/>
        </w:rPr>
        <w:t>«Բնակչության բժշկական օգնության և սպասարկման մասին»</w:t>
      </w:r>
      <w:r w:rsidRPr="008618B2">
        <w:rPr>
          <w:rFonts w:ascii="GHEA Grapalat" w:hAnsi="GHEA Grapalat" w:cs="Sylfaen"/>
          <w:lang w:val="hy-AM"/>
        </w:rPr>
        <w:t xml:space="preserve"> ՀՀ օրենք.</w:t>
      </w:r>
    </w:p>
    <w:p w:rsidR="002E4AE8" w:rsidRPr="008618B2" w:rsidRDefault="002E4AE8" w:rsidP="002E4AE8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Times Armenian"/>
          <w:lang w:val="hy-AM"/>
        </w:rPr>
      </w:pPr>
      <w:r w:rsidRPr="008618B2">
        <w:rPr>
          <w:rFonts w:ascii="GHEA Grapalat" w:hAnsi="GHEA Grapalat" w:cs="Sylfaen"/>
          <w:lang w:val="af-ZA"/>
        </w:rPr>
        <w:t>«Դեղերի մասին»</w:t>
      </w:r>
      <w:r w:rsidRPr="008618B2">
        <w:rPr>
          <w:rFonts w:ascii="GHEA Grapalat" w:hAnsi="GHEA Grapalat" w:cs="Sylfaen"/>
          <w:lang w:val="hy-AM"/>
        </w:rPr>
        <w:t xml:space="preserve"> ՀՀ օրենք.</w:t>
      </w:r>
    </w:p>
    <w:p w:rsidR="002E4AE8" w:rsidRPr="002E4AE8" w:rsidRDefault="002E4AE8" w:rsidP="002E4AE8">
      <w:pPr>
        <w:tabs>
          <w:tab w:val="left" w:pos="1080"/>
        </w:tabs>
        <w:spacing w:after="0" w:line="360" w:lineRule="auto"/>
        <w:ind w:left="720" w:firstLine="360"/>
        <w:jc w:val="both"/>
        <w:rPr>
          <w:highlight w:val="yellow"/>
          <w:lang w:val="hy-AM"/>
        </w:rPr>
      </w:pPr>
    </w:p>
    <w:p w:rsidR="00852A14" w:rsidRPr="002E4AE8" w:rsidRDefault="00852A14" w:rsidP="00E05B5A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</w:t>
      </w:r>
      <w:r w:rsidRPr="002E4AE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Պաշտոնային դրույքաչափը՝ 212309 ՀՀ դրամ: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Նշված ժամանակավոր թափուր պաշտոն առաջանալու հիմքի </w:t>
      </w:r>
      <w:r w:rsidR="00E05B5A" w:rsidRPr="002E4AE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հնարավոր վերացման ժամկետն է 2022թ.</w:t>
      </w:r>
      <w:r w:rsidR="00E05B5A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 xml:space="preserve"> մայիսի 31</w:t>
      </w:r>
      <w:r w:rsidRPr="002E4AE8">
        <w:rPr>
          <w:rFonts w:ascii="GHEA Grapalat" w:eastAsia="Times New Roman" w:hAnsi="GHEA Grapalat" w:cs="Times New Roman"/>
          <w:b/>
          <w:bCs/>
          <w:color w:val="222222"/>
          <w:sz w:val="23"/>
          <w:szCs w:val="23"/>
          <w:lang w:val="hy-AM"/>
        </w:rPr>
        <w:t>-ը:</w:t>
      </w:r>
    </w:p>
    <w:p w:rsidR="00852A14" w:rsidRPr="002E4AE8" w:rsidRDefault="00852A14" w:rsidP="00852A14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Դիմող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ՀՀ քաղաքացիները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պետք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է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ներկայացնեն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հետևյալ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փաստաթղթերը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ind w:left="10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դիմում</w:t>
      </w:r>
    </w:p>
    <w:p w:rsidR="00852A14" w:rsidRPr="002E4AE8" w:rsidRDefault="00852A14" w:rsidP="00A80BA6">
      <w:pPr>
        <w:shd w:val="clear" w:color="auto" w:fill="FFFFFF"/>
        <w:spacing w:after="0" w:line="390" w:lineRule="atLeast"/>
        <w:ind w:firstLine="633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տվյալ պաշտոնը զբաղեցնելու համար մասնագիտական գիտելիքների և աշխատանքային ունակությունների տիրապետման տեսանկյունից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ներկայացվող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պահանջների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բավարարումը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հավաստող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փաստաթղթերի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դիպլոմ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ի(ների), վկայական(ների), աշխատանքային գրքույկի (վերջինիս բացակայության դեպքում անհրաժեշտ է ներկայացնել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տեղեկանք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համապատասխան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մարմնից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)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պատճեները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բնօրինակների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հետ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միասին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.</w:t>
      </w:r>
    </w:p>
    <w:p w:rsidR="00852A14" w:rsidRPr="002E4AE8" w:rsidRDefault="00852A14" w:rsidP="00A80BA6">
      <w:pPr>
        <w:shd w:val="clear" w:color="auto" w:fill="FFFFFF"/>
        <w:spacing w:after="0" w:line="390" w:lineRule="atLeast"/>
        <w:ind w:firstLine="675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lastRenderedPageBreak/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արական սեռի անձիք նաև զինգրքույկ կամ դրան փոխարինող ժամանակավոր և զորակոչային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տեղամասին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կցագրման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Pr="002E4AE8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վկայական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.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ind w:left="10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մեկ գունավոր լուսանկար 3X4 սմ չափսի.</w:t>
      </w:r>
    </w:p>
    <w:p w:rsidR="00852A14" w:rsidRPr="002E4AE8" w:rsidRDefault="00852A14" w:rsidP="00852A14">
      <w:pPr>
        <w:shd w:val="clear" w:color="auto" w:fill="FFFFFF"/>
        <w:spacing w:after="0" w:line="390" w:lineRule="atLeast"/>
        <w:ind w:left="1035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Symbol" w:eastAsia="Times New Roman" w:hAnsi="Symbol" w:cs="Times New Roman"/>
          <w:color w:val="222222"/>
          <w:sz w:val="20"/>
          <w:szCs w:val="20"/>
          <w:lang w:val="hy-AM"/>
        </w:rPr>
        <w:t></w:t>
      </w:r>
      <w:r w:rsidRPr="002E4AE8">
        <w:rPr>
          <w:rFonts w:ascii="Times New Roman" w:eastAsia="Times New Roman" w:hAnsi="Times New Roman" w:cs="Times New Roman"/>
          <w:color w:val="222222"/>
          <w:sz w:val="14"/>
          <w:szCs w:val="14"/>
          <w:lang w:val="hy-AM"/>
        </w:rPr>
        <w:t>        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անձնագրի պատճենը (/առաջին և գրանցման էջերով).</w:t>
      </w:r>
    </w:p>
    <w:p w:rsidR="00852A14" w:rsidRPr="002E4AE8" w:rsidRDefault="00852A14" w:rsidP="00852A14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Փաստաթղթերը ընդունվում են անձամբ կամ էլեկտրոնային եղանակով ամեն օր 9:30-12:30,</w:t>
      </w:r>
      <w:r w:rsidRPr="002E4AE8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</w:t>
      </w:r>
      <w:r w:rsidRPr="002E4AE8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բացի շաբաթ և կիրակի օրերից:</w:t>
      </w:r>
    </w:p>
    <w:p w:rsidR="00852A14" w:rsidRPr="002E4AE8" w:rsidRDefault="00852A14" w:rsidP="00852A14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hy-AM"/>
        </w:rPr>
      </w:pPr>
      <w:bookmarkStart w:id="0" w:name="_GoBack"/>
      <w:bookmarkEnd w:id="0"/>
      <w:r w:rsidRPr="00F1775F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Դիմումների ընդունման վերջին ժամկետն</w:t>
      </w:r>
      <w:r w:rsidRPr="00F1775F">
        <w:rPr>
          <w:rFonts w:ascii="Calibri" w:eastAsia="Times New Roman" w:hAnsi="Calibri" w:cs="Calibri"/>
          <w:color w:val="222222"/>
          <w:sz w:val="23"/>
          <w:szCs w:val="23"/>
          <w:lang w:val="hy-AM"/>
        </w:rPr>
        <w:t>  </w:t>
      </w:r>
      <w:r w:rsidR="00F1775F" w:rsidRPr="00F1775F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27.01.2022</w:t>
      </w:r>
      <w:r w:rsidRPr="00F1775F">
        <w:rPr>
          <w:rFonts w:ascii="GHEA Grapalat" w:eastAsia="Times New Roman" w:hAnsi="GHEA Grapalat" w:cs="GHEA Grapalat"/>
          <w:color w:val="222222"/>
          <w:sz w:val="23"/>
          <w:szCs w:val="23"/>
          <w:lang w:val="hy-AM"/>
        </w:rPr>
        <w:t>թ</w:t>
      </w:r>
      <w:r w:rsidRPr="00F1775F">
        <w:rPr>
          <w:rFonts w:ascii="GHEA Grapalat" w:eastAsia="Times New Roman" w:hAnsi="GHEA Grapalat" w:cs="Times New Roman"/>
          <w:color w:val="222222"/>
          <w:sz w:val="23"/>
          <w:szCs w:val="23"/>
          <w:lang w:val="hy-AM"/>
        </w:rPr>
        <w:t>.</w:t>
      </w:r>
    </w:p>
    <w:p w:rsidR="00852A14" w:rsidRPr="00852A14" w:rsidRDefault="00852A14" w:rsidP="00E05B5A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lang w:val="hy-AM"/>
        </w:rPr>
      </w:pPr>
      <w:r w:rsidRPr="002E4AE8">
        <w:rPr>
          <w:rFonts w:ascii="GHEA Grapalat" w:eastAsia="Times New Roman" w:hAnsi="GHEA Grapalat" w:cs="Times New Roman"/>
          <w:b/>
          <w:i/>
          <w:color w:val="222222"/>
          <w:lang w:val="hy-AM"/>
        </w:rPr>
        <w:t xml:space="preserve">ՀՀ </w:t>
      </w:r>
      <w:r w:rsidR="00E05B5A" w:rsidRPr="00E05B5A">
        <w:rPr>
          <w:rFonts w:ascii="GHEA Grapalat" w:eastAsia="Times New Roman" w:hAnsi="GHEA Grapalat" w:cs="Times New Roman"/>
          <w:b/>
          <w:i/>
          <w:color w:val="222222"/>
          <w:lang w:val="hy-AM"/>
        </w:rPr>
        <w:t>առողջապահական և աշխատանքի տեսչական մարմին</w:t>
      </w:r>
      <w:r w:rsidRPr="002E4AE8">
        <w:rPr>
          <w:rFonts w:ascii="GHEA Grapalat" w:eastAsia="Times New Roman" w:hAnsi="GHEA Grapalat" w:cs="Times New Roman"/>
          <w:b/>
          <w:i/>
          <w:color w:val="222222"/>
          <w:lang w:val="hy-AM"/>
        </w:rPr>
        <w:t xml:space="preserve"> /</w:t>
      </w:r>
      <w:r w:rsidR="00E05B5A" w:rsidRPr="00E05B5A">
        <w:rPr>
          <w:rFonts w:ascii="GHEA Grapalat" w:eastAsia="Times New Roman" w:hAnsi="GHEA Grapalat" w:cs="Times New Roman"/>
          <w:b/>
          <w:i/>
          <w:lang w:val="hy-AM"/>
        </w:rPr>
        <w:t xml:space="preserve">0047 </w:t>
      </w:r>
      <w:r w:rsidR="00E05B5A" w:rsidRPr="00E05B5A">
        <w:rPr>
          <w:rFonts w:ascii="GHEA Grapalat" w:eastAsia="Times New Roman" w:hAnsi="GHEA Grapalat" w:cs="Sylfaen"/>
          <w:b/>
          <w:i/>
          <w:lang w:val="hy-AM"/>
        </w:rPr>
        <w:t xml:space="preserve">ՀՀ Երևան, Նորք-Մարաշ, Ա.Արմենակյան փ. 129, 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>հեռ</w:t>
      </w:r>
      <w:r w:rsidRPr="002E4AE8">
        <w:rPr>
          <w:rFonts w:ascii="MS Gothic" w:eastAsia="MS Gothic" w:hAnsi="MS Gothic" w:cs="Times New Roman" w:hint="eastAsia"/>
          <w:b/>
          <w:i/>
          <w:color w:val="222222"/>
          <w:sz w:val="23"/>
          <w:szCs w:val="23"/>
          <w:lang w:val="hy-AM"/>
        </w:rPr>
        <w:t>․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՝ </w:t>
      </w:r>
      <w:r w:rsidR="00E05B5A" w:rsidRPr="00E05B5A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(374-10) 65-05-53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 էլ</w:t>
      </w:r>
      <w:r w:rsidRPr="002E4AE8">
        <w:rPr>
          <w:rFonts w:ascii="MS Gothic" w:eastAsia="MS Gothic" w:hAnsi="MS Gothic" w:cs="Times New Roman" w:hint="eastAsia"/>
          <w:b/>
          <w:i/>
          <w:color w:val="222222"/>
          <w:sz w:val="23"/>
          <w:szCs w:val="23"/>
          <w:lang w:val="hy-AM"/>
        </w:rPr>
        <w:t>․</w:t>
      </w:r>
      <w:r w:rsidRPr="002E4AE8">
        <w:rPr>
          <w:rFonts w:ascii="Calibri" w:eastAsia="Times New Roman" w:hAnsi="Calibri" w:cs="Calibri"/>
          <w:b/>
          <w:i/>
          <w:color w:val="222222"/>
          <w:sz w:val="23"/>
          <w:szCs w:val="23"/>
          <w:lang w:val="hy-AM"/>
        </w:rPr>
        <w:t> </w:t>
      </w:r>
      <w:r w:rsidRPr="002E4AE8">
        <w:rPr>
          <w:rFonts w:ascii="GHEA Grapalat" w:eastAsia="Times New Roman" w:hAnsi="GHEA Grapalat" w:cs="GHEA Grapalat"/>
          <w:b/>
          <w:i/>
          <w:color w:val="222222"/>
          <w:sz w:val="23"/>
          <w:szCs w:val="23"/>
          <w:lang w:val="hy-AM"/>
        </w:rPr>
        <w:t>փոստի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GHEA Grapalat"/>
          <w:b/>
          <w:i/>
          <w:color w:val="222222"/>
          <w:sz w:val="23"/>
          <w:szCs w:val="23"/>
          <w:lang w:val="hy-AM"/>
        </w:rPr>
        <w:t>հասցե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>.</w:t>
      </w:r>
      <w:r w:rsidR="00E05B5A" w:rsidRPr="00E05B5A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info@hlib.am</w:t>
      </w:r>
      <w:r w:rsidR="00E05B5A"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 xml:space="preserve"> </w:t>
      </w:r>
      <w:r w:rsidRPr="002E4AE8">
        <w:rPr>
          <w:rFonts w:ascii="GHEA Grapalat" w:eastAsia="Times New Roman" w:hAnsi="GHEA Grapalat" w:cs="Times New Roman"/>
          <w:b/>
          <w:i/>
          <w:color w:val="222222"/>
          <w:sz w:val="23"/>
          <w:szCs w:val="23"/>
          <w:lang w:val="hy-AM"/>
        </w:rPr>
        <w:t>/:</w:t>
      </w:r>
    </w:p>
    <w:p w:rsidR="00940985" w:rsidRPr="002E4AE8" w:rsidRDefault="00940985">
      <w:pPr>
        <w:rPr>
          <w:lang w:val="hy-AM"/>
        </w:rPr>
      </w:pPr>
    </w:p>
    <w:sectPr w:rsidR="00940985" w:rsidRPr="002E4AE8" w:rsidSect="00E05B5A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26"/>
    <w:multiLevelType w:val="hybridMultilevel"/>
    <w:tmpl w:val="0A34D49C"/>
    <w:lvl w:ilvl="0" w:tplc="D5F81B1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3DD"/>
    <w:multiLevelType w:val="hybridMultilevel"/>
    <w:tmpl w:val="4D8EB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B1E90"/>
    <w:multiLevelType w:val="hybridMultilevel"/>
    <w:tmpl w:val="6D4EB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728DE"/>
    <w:multiLevelType w:val="hybridMultilevel"/>
    <w:tmpl w:val="1B16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9C0A74"/>
    <w:multiLevelType w:val="hybridMultilevel"/>
    <w:tmpl w:val="1AB04024"/>
    <w:lvl w:ilvl="0" w:tplc="669AC21A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3AA7759"/>
    <w:multiLevelType w:val="hybridMultilevel"/>
    <w:tmpl w:val="A552A65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940423D"/>
    <w:multiLevelType w:val="hybridMultilevel"/>
    <w:tmpl w:val="D6700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251F9"/>
    <w:multiLevelType w:val="hybridMultilevel"/>
    <w:tmpl w:val="8B3019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954ECC"/>
    <w:multiLevelType w:val="hybridMultilevel"/>
    <w:tmpl w:val="9508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202D1"/>
    <w:multiLevelType w:val="hybridMultilevel"/>
    <w:tmpl w:val="68E0C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5554D8"/>
    <w:multiLevelType w:val="hybridMultilevel"/>
    <w:tmpl w:val="5186FC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899"/>
    <w:multiLevelType w:val="hybridMultilevel"/>
    <w:tmpl w:val="2482FB4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77"/>
    <w:rsid w:val="00082758"/>
    <w:rsid w:val="00121B77"/>
    <w:rsid w:val="002207E9"/>
    <w:rsid w:val="002E4AE8"/>
    <w:rsid w:val="003C5336"/>
    <w:rsid w:val="004532DA"/>
    <w:rsid w:val="005E03FA"/>
    <w:rsid w:val="006B0497"/>
    <w:rsid w:val="006C6A47"/>
    <w:rsid w:val="00852A14"/>
    <w:rsid w:val="008618B2"/>
    <w:rsid w:val="00940985"/>
    <w:rsid w:val="00A80BA6"/>
    <w:rsid w:val="00BB4374"/>
    <w:rsid w:val="00C90B77"/>
    <w:rsid w:val="00E05B5A"/>
    <w:rsid w:val="00F1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B781"/>
  <w15:chartTrackingRefBased/>
  <w15:docId w15:val="{1D0C0C92-11DE-4281-A864-9AF4008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852A1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52A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2A14"/>
  </w:style>
  <w:style w:type="table" w:styleId="TableGrid">
    <w:name w:val="Table Grid"/>
    <w:basedOn w:val="TableNormal"/>
    <w:uiPriority w:val="39"/>
    <w:rsid w:val="0008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AE8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2E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61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8255">
                  <w:marLeft w:val="-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661">
                  <w:marLeft w:val="0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1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90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2022-01-21T07:23:00Z</dcterms:created>
  <dcterms:modified xsi:type="dcterms:W3CDTF">2022-01-24T08:40:00Z</dcterms:modified>
</cp:coreProperties>
</file>